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31.png" ContentType="image/png"/>
  <Override PartName="/word/media/rId32.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FT-MS</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2022-03-31</w:t>
      </w:r>
      <w:r>
        <w:t xml:space="preserve"> </w:t>
      </w:r>
      <w:r>
        <w:t xml:space="preserve">15:59:09</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FT-MS experiments developed on metabolomics datasets that utilizes frequency values derived directly from the spacing of raw m/z points in spectral scans.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use of intensity independent noise removal, and normalization of scan level data results in a much better fit of relative intensity to natural abundance probability for low abundance isotopologues that are not present in all of the acquired scans.</w:t>
      </w:r>
    </w:p>
    <w:p>
      <w:pPr>
        <w:pStyle w:val="MDPI18keywords"/>
      </w:pPr>
      <w:r>
        <w:rPr>
          <w:bCs/>
          <w:b/>
        </w:rPr>
        <w:t xml:space="preserve">Keywords</w:t>
      </w:r>
      <w:r>
        <w:t xml:space="preserve">: Fourier-transform mass-spectrometry</w:t>
      </w:r>
    </w:p>
    <w:p>
      <w:pPr>
        <w:pStyle w:val="MDPI21heading1"/>
      </w:pPr>
      <w:r>
        <w:t xml:space="preserve">Introduction</w:t>
      </w:r>
    </w:p>
    <w:p>
      <w:pPr>
        <w:pStyle w:val="MDPI31text"/>
      </w:pPr>
      <w:r>
        <w:t xml:space="preserve">Fourier 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including: (i) the ability to resolve distinct isotopologues with identical unit masses but different accurate masses</w:t>
      </w:r>
      <w:r>
        <w:t xml:space="preserve"> </w:t>
      </w:r>
      <w:r>
        <w:t xml:space="preserve">[1]</w:t>
      </w:r>
      <w:r>
        <w:t xml:space="preserve">, enabling multi-element isotopic natural abundance correction</w:t>
      </w:r>
      <w:r>
        <w:t xml:space="preserve"> </w:t>
      </w:r>
      <w:r>
        <w:t xml:space="preserve">[2,3]</w:t>
      </w:r>
      <w:r>
        <w:t xml:space="preserve">; (ii) improved assignment accuracy</w:t>
      </w:r>
      <w:r>
        <w:t xml:space="preserve"> </w:t>
      </w:r>
      <w:r>
        <w:t xml:space="preserve">[4]</w:t>
      </w:r>
      <w:r>
        <w:t xml:space="preserve">; and (iii) the detection of metabolites in the sub-femtomolar range</w:t>
      </w:r>
      <w:r>
        <w:t xml:space="preserve"> </w:t>
      </w:r>
      <w:r>
        <w:t xml:space="preserve">[5,6]</w:t>
      </w:r>
      <w:r>
        <w:t xml:space="preserve">.</w:t>
      </w:r>
      <w:r>
        <w:t xml:space="preserve"> </w:t>
      </w:r>
      <w:r>
        <w:t xml:space="preserve">In the metabolomics field, these improvements permit more complicated, but more informative experimental designs such as the use of multiple isotope-labeled precursors in stable isotope-resolved metabolomics (SIRM) experiments [</w:t>
      </w:r>
      <w:r>
        <w:t xml:space="preserve">[7]</w:t>
      </w:r>
      <w:r>
        <w:t xml:space="preserve">.</w:t>
      </w:r>
      <w:r>
        <w:t xml:space="preserve"> </w:t>
      </w:r>
      <w:r>
        <w:t xml:space="preserve">Multiple isotope-labeling experiments can provide the information needed to elucidate unknown metabolic pathways</w:t>
      </w:r>
      <w:r>
        <w:t xml:space="preserve"> </w:t>
      </w:r>
      <w:r>
        <w:t xml:space="preserve">[1,8]</w:t>
      </w:r>
      <w:r>
        <w:t xml:space="preserve">, quantify relative fluxes through multiple metabolic pathways</w:t>
      </w:r>
      <w:r>
        <w:t xml:space="preserve"> </w:t>
      </w:r>
      <w:r>
        <w:t xml:space="preserve">[9]</w:t>
      </w:r>
      <w:r>
        <w:t xml:space="preserve">, identify metabolite pools in different celullar compartments</w:t>
      </w:r>
      <w:r>
        <w:t xml:space="preserve"> </w:t>
      </w:r>
      <w:r>
        <w:t xml:space="preserve">[10]</w:t>
      </w:r>
      <w:r>
        <w:t xml:space="preserve">, and identify active metabolic pathways under various cellular conditions</w:t>
      </w:r>
      <w:r>
        <w:t xml:space="preserve"> </w:t>
      </w:r>
      <w:r>
        <w:t xml:space="preserve">[11–13]</w:t>
      </w:r>
      <w:r>
        <w:t xml:space="preserve">.</w:t>
      </w:r>
      <w:r>
        <w:t xml:space="preserve"> </w:t>
      </w:r>
      <w:r>
        <w:t xml:space="preserve">These gains in information enable more complete modeling of cellular metabolism and better understanding of physiological and pathological processes at a mechanistic level, facilitating the identification of potential therapeutic targets</w:t>
      </w:r>
      <w:r>
        <w:t xml:space="preserve"> </w:t>
      </w:r>
      <w:r>
        <w:t xml:space="preserve">[14]</w:t>
      </w:r>
      <w:r>
        <w:t xml:space="preserve"> </w:t>
      </w:r>
      <w:r>
        <w:t xml:space="preserve">and the quantification of differential drug response</w:t>
      </w:r>
      <w:r>
        <w:t xml:space="preserve"> </w:t>
      </w:r>
      <w:r>
        <w:t xml:space="preserve">[15]</w:t>
      </w:r>
      <w:r>
        <w:t xml:space="preserve">.</w:t>
      </w:r>
    </w:p>
    <w:p>
      <w:pPr>
        <w:pStyle w:val="MDPI31text"/>
      </w:pPr>
      <w:r>
        <w:t xml:space="preserve">While the advantages of FT-MS are significant, when deployed in a high-throughput environment, the volume of data produced requires automated tools for data reduction, quality control, feature assignment, and downstream analyses.</w:t>
      </w:r>
      <w:r>
        <w:t xml:space="preserve"> </w:t>
      </w:r>
      <w:r>
        <w:t xml:space="preserve">These requirements are amplified when FT-MS is used with direct infusion where existing and well-validated assignment methods that rely on orthogonal sources of information (such as chromatography) are either not applicable or would further increase the amount of data to be processed.</w:t>
      </w:r>
      <w:r>
        <w:t xml:space="preserve"> </w:t>
      </w:r>
      <w:r>
        <w:t xml:space="preserve">Therefore, without automation, rigorous assignment of non-polymeric biomolecules in untargeted MS analyses remains difficult even with FT-MS’s high resolution.</w:t>
      </w:r>
    </w:p>
    <w:p>
      <w:pPr>
        <w:pStyle w:val="MDPI31text"/>
      </w:pPr>
      <w:r>
        <w:t xml:space="preserve">Within this high-throughput environment we previously developed methods to remove high-peak-density artifacts</w:t>
      </w:r>
      <w:r>
        <w:t xml:space="preserve"> </w:t>
      </w:r>
      <w:r>
        <w:t xml:space="preserve">[16]</w:t>
      </w:r>
      <w:r>
        <w:t xml:space="preserve">, annotate peaks with assignments using SMIRFE</w:t>
      </w:r>
      <w:r>
        <w:t xml:space="preserve"> </w:t>
      </w:r>
      <w:r>
        <w:t xml:space="preserve">[17]</w:t>
      </w:r>
      <w:r>
        <w:t xml:space="preserve">, and generate lipid classifications for those peak assignments</w:t>
      </w:r>
      <w:r>
        <w:t xml:space="preserve"> </w:t>
      </w:r>
      <w:r>
        <w:t xml:space="preserve">[18]</w:t>
      </w:r>
      <w:r>
        <w:t xml:space="preserve">.</w:t>
      </w:r>
      <w:r>
        <w:t xml:space="preserve"> </w:t>
      </w:r>
      <w:r>
        <w:t xml:space="preserve">All of these methods together culminated in detecting differential lipids in non-small-cell lung cancer (NSCLC)</w:t>
      </w:r>
      <w:r>
        <w:t xml:space="preserve"> </w:t>
      </w:r>
      <w:r>
        <w:t xml:space="preserve">[19]</w:t>
      </w:r>
      <w:r>
        <w:t xml:space="preserve">.</w:t>
      </w:r>
    </w:p>
    <w:p>
      <w:pPr>
        <w:pStyle w:val="MDPI31text"/>
      </w:pPr>
      <w:r>
        <w:t xml:space="preserve">The input peak-data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Depending on the sample source, it can be advantageous to keep the data at the scan level, so that any given</w:t>
      </w:r>
      <w:r>
        <w:t xml:space="preserve"> </w:t>
      </w:r>
      <w:r>
        <w:t xml:space="preserve">“</w:t>
      </w:r>
      <w:r>
        <w:t xml:space="preserve">bad</w:t>
      </w:r>
      <w:r>
        <w:t xml:space="preserve">”</w:t>
      </w:r>
      <w:r>
        <w:t xml:space="preserve"> </w:t>
      </w:r>
      <w:r>
        <w:t xml:space="preserve">scan can be removed prior to aggregating the data across scans and generating a centroided peak m/z and intensity.</w:t>
      </w:r>
      <w:r>
        <w:t xml:space="preserve"> </w:t>
      </w:r>
      <w:r>
        <w:t xml:space="preserve">If the scan level data is not processed and aggregated correctly, the final peak intensities and / or m/z’s will be incorrect.</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 NAP relationships, our scan-centric method also results in improved relative standard deviations, automatic identification of high-peak-density artifact peaks, and separation of samples in a lipidomics data analysis.</w:t>
      </w:r>
    </w:p>
    <w:p>
      <w:pPr>
        <w:pStyle w:val="MDPI21heading1"/>
      </w:pPr>
      <w:r>
        <w:t xml:space="preserve">Results</w:t>
      </w:r>
    </w:p>
    <w:p>
      <w:pPr>
        <w:pStyle w:val="MDPI22heading2"/>
      </w:pPr>
      <w:r>
        <w:t xml:space="preserve">Naively Averaged Data Have Bad Relative Intensities</w:t>
      </w:r>
    </w:p>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dpi_files/figure-docx/Figure_1_motivation-1.png" id="0" name="Picture"/>
                    <pic:cNvPicPr>
                      <a:picLocks noChangeArrowheads="1" noChangeAspect="1"/>
                    </pic:cNvPicPr>
                  </pic:nvPicPr>
                  <pic:blipFill>
                    <a:blip r:embed="rId21"/>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p>
      <w:pPr>
        <w:pStyle w:val="MDPI22heading2"/>
      </w:pPr>
      <w:r>
        <w:t xml:space="preserve">m/z to Frequency</w:t>
      </w:r>
    </w:p>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 Fusion instrument from which most of our collaborators data has been acquired, at a resolution of 400K,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dpi_files/figure-docx/Figure_2_mz_frequency_conversion-1.png" id="0" name="Picture"/>
                    <pic:cNvPicPr>
                      <a:picLocks noChangeArrowheads="1" noChangeAspect="1"/>
                    </pic:cNvPicPr>
                  </pic:nvPicPr>
                  <pic:blipFill>
                    <a:blip r:embed="rId22"/>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3_peak_ordering-1.png" id="0" name="Picture"/>
                    <pic:cNvPicPr>
                      <a:picLocks noChangeArrowheads="1" noChangeAspect="1"/>
                    </pic:cNvPicPr>
                  </pic:nvPicPr>
                  <pic:blipFill>
                    <a:blip r:embed="rId2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p>
      <w:pPr>
        <w:pStyle w:val="MDPI22heading2"/>
      </w:pPr>
      <w:r>
        <w:t xml:space="preserve">Sliding Window Density to Remove Noise</w:t>
      </w:r>
    </w:p>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3,552 to 11,237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4_slidingwindow_count-1.png" id="0" name="Picture"/>
                    <pic:cNvPicPr>
                      <a:picLocks noChangeArrowheads="1" noChangeAspect="1"/>
                    </pic:cNvPicPr>
                  </pic:nvPicPr>
                  <pic:blipFill>
                    <a:blip r:embed="rId2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31text"/>
      </w:pPr>
      <w:r>
        <w:t xml:space="preserve">For each region initially created, the peaks in each scan within that region can be characterized using a quadratic fit of log(intensity) to m/z.</w:t>
      </w:r>
    </w:p>
    <w:p>
      <w:pPr>
        <w:pStyle w:val="MDPI22heading2"/>
      </w:pPr>
      <w:r>
        <w:t xml:space="preserve">Peak Characterization Using Quadratic Fit</w:t>
      </w:r>
    </w:p>
    <w:p>
      <w:pPr>
        <w:pStyle w:val="MDPI31text"/>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5_centroided_peaks-1.png" id="0" name="Picture"/>
                    <pic:cNvPicPr>
                      <a:picLocks noChangeArrowheads="1" noChangeAspect="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p>
      <w:pPr>
        <w:pStyle w:val="MDPI22heading2"/>
      </w:pPr>
      <w:r>
        <w:t xml:space="preserve">Breaking Up Initial Regions</w:t>
      </w:r>
    </w:p>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6_breaking_regions-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MDPI22heading2"/>
      </w:pPr>
      <w:r>
        <w:t xml:space="preserve">Normalization of Scans</w:t>
      </w:r>
    </w:p>
    <w:p>
      <w:pPr>
        <w:pStyle w:val="MDPI31text"/>
      </w:pPr>
      <w:r>
        <w:t xml:space="preserve">Due to differences in how many ions are captured in the trap and the limited dynamic range of the detector, the observed peak intensities for the same analyte vary slightly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7A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7_intensity_scan-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8_normalization_factors-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p>
    <w:p>
      <w:pPr>
        <w:pStyle w:val="MDPI22heading2"/>
      </w:pPr>
      <w:r>
        <w:t xml:space="preserve">Removal of High Peak Density Artefacts</w:t>
      </w:r>
    </w:p>
    <w:p>
      <w:pPr>
        <w:pStyle w:val="MDPI31text"/>
      </w:pPr>
      <w:r>
        <w:t xml:space="preserve">We have previously described the presence of high peak density (HPD) artefacts in FT-MS spectra</w:t>
      </w:r>
      <w:r>
        <w:t xml:space="preserve"> </w:t>
      </w:r>
      <w:r>
        <w:t xml:space="preserve">[16]</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ten points wide and a stride of one point.</w:t>
      </w:r>
    </w:p>
    <w:p>
      <w:pPr>
        <w:pStyle w:val="MDPI31text"/>
      </w:pPr>
      <w:r>
        <w:t xml:space="preserve">Figure 9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9_hpd_compare_fsd-1.png" id="0" name="Picture"/>
                    <pic:cNvPicPr>
                      <a:picLocks noChangeArrowheads="1" noChangeAspect="1"/>
                    </pic:cNvPicPr>
                  </pic:nvPicPr>
                  <pic:blipFill>
                    <a:blip r:embed="rId29"/>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p>
      <w:pPr>
        <w:pStyle w:val="MDPI22heading2"/>
      </w:pPr>
      <w:r>
        <w:t xml:space="preserve">Changes in Relative Standard Deviation (RSD)</w:t>
      </w:r>
    </w:p>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0_rsd_method-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bl>
    <w:p>
      <w:pPr>
        <w:pStyle w:val="MDPI22heading2"/>
      </w:pPr>
      <w:r>
        <w:t xml:space="preserve">Difference to Relative Natural Abundance</w:t>
      </w:r>
    </w:p>
    <w:p>
      <w:pPr>
        <w:pStyle w:val="MDPI31text"/>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11 compares the peak - peak natural abundance and height log-ratio differences generated using heights from Xcalibur and from our scan-level peak characterization.</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11_nap_intensity-1.png" id="0" name="Picture"/>
                    <pic:cNvPicPr>
                      <a:picLocks noChangeArrowheads="1" noChangeAspect="1"/>
                    </pic:cNvPicPr>
                  </pic:nvPicPr>
                  <pic:blipFill>
                    <a:blip r:embed="rId31"/>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11.</w:t>
      </w:r>
      <w:r>
        <w:t xml:space="preserve"> </w:t>
      </w:r>
      <w:r>
        <w:rPr>
          <w:bCs/>
          <w:b/>
        </w:rPr>
        <w:t xml:space="preserve">A</w:t>
      </w:r>
      <w:r>
        <w:t xml:space="preserve">. Peak - peak NAP - intensity differences from scan-level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scan-level ratios plotted directly as a function of the number of scans the peak was not found in.</w:t>
      </w:r>
      <w:r>
        <w:t xml:space="preserve"> </w:t>
      </w:r>
      <w:r>
        <w:rPr>
          <w:bCs/>
          <w:b/>
        </w:rPr>
        <w:t xml:space="preserve">C</w:t>
      </w:r>
      <w:r>
        <w:t xml:space="preserve">. The differences of Xcalibur to scan-level ratios for all of the amino acid assignments in EMFs with more than a single peak in both ECF samples.</w:t>
      </w:r>
    </w:p>
    <w:p>
      <w:pPr>
        <w:pStyle w:val="MDPI22heading2"/>
      </w:pPr>
      <w:r>
        <w:t xml:space="preserve">Method Specific Peaks</w:t>
      </w:r>
    </w:p>
    <w:p>
      <w:pPr>
        <w:pStyle w:val="Body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12) and assigned peaks from the full scan-centric processing with Xcalibur and MSnbase.</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dpi_files/figure-docx/Figure_12_unassigned_upset-1.png" id="0" name="Picture"/>
                    <pic:cNvPicPr>
                      <a:picLocks noChangeArrowheads="1" noChangeAspect="1"/>
                    </pic:cNvPicPr>
                  </pic:nvPicPr>
                  <pic:blipFill>
                    <a:blip r:embed="rId3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12.</w:t>
      </w:r>
      <w:r>
        <w:t xml:space="preserve"> </w:t>
      </w:r>
      <w:r>
        <w:t xml:space="preserve">UpSet plot with the counts of common and specific peaks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22heading2"/>
      </w:pPr>
      <w:r>
        <w:t xml:space="preserve">Changes in Variance Across a Large Dataset</w:t>
      </w:r>
    </w:p>
    <w:p>
      <w:pPr>
        <w:pStyle w:val="MDPI31text"/>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p>
      <w:pPr>
        <w:pStyle w:val="MDPI21heading1"/>
      </w:pPr>
      <w:r>
        <w:t xml:space="preserve">Discussion</w:t>
      </w:r>
    </w:p>
    <w:p>
      <w:pPr>
        <w:pStyle w:val="MDPI31text"/>
      </w:pPr>
      <w:r>
        <w:t xml:space="preserve">we should have some discussion here about the results</w:t>
      </w:r>
    </w:p>
    <w:p>
      <w:pPr>
        <w:pStyle w:val="MDPI21heading1"/>
      </w:pPr>
      <w:r>
        <w:t xml:space="preserve">Materials and Methods</w:t>
      </w:r>
    </w:p>
    <w:p>
      <w:pPr>
        <w:pStyle w:val="MDPI22heading2"/>
      </w:pPr>
      <w:r>
        <w:t xml:space="preserve">Conversion of m/z to Frequency</w:t>
      </w:r>
    </w:p>
    <w:p>
      <w:pPr>
        <w:pStyle w:val="MDPI31text"/>
      </w:pPr>
      <w:r>
        <w:t xml:space="preserve">The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oMath>
      </m:oMathPara>
    </w:p>
    <w:p>
      <w:pPr>
        <w:pStyle w:val="MDPI31text"/>
      </w:pPr>
      <w:r>
        <w:t xml:space="preserve">From the known physical properties of the Orbitrap, only the square root term should be necessary</w:t>
      </w:r>
      <w:r>
        <w:t xml:space="preserve"> </w:t>
      </w:r>
      <w:r>
        <w:t xml:space="preserve">[20]</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r>
        <w:t xml:space="preserve"> </w:t>
      </w:r>
      <w:r>
        <w:t xml:space="preserve">A single model rather than scan specific models is used for conversion because this was found to maintain the relative ordering of the peaks in m/z and frequency space (see Results).</w:t>
      </w:r>
    </w:p>
    <w:p>
      <w:pPr>
        <w:pStyle w:val="MDPI31text"/>
      </w:pPr>
      <w:r>
        <w:t xml:space="preserve">To convert m/z back into frequency, we can use a similar model without the roots.</w:t>
      </w:r>
    </w:p>
    <w:p>
      <w:pPr>
        <w:pStyle w:val="MDPI39equation"/>
      </w:pPr>
      <m:oMathPara>
        <m:oMathParaPr>
          <m:jc m:val="center"/>
        </m:oMathParaPr>
        <m:oMath>
          <m:r>
            <m:t>m</m:t>
          </m:r>
          <m:r>
            <m:t>z</m:t>
          </m:r>
          <m:r>
            <m:rPr>
              <m:sty m:val="p"/>
            </m:rPr>
            <m:t>=</m:t>
          </m:r>
          <m:r>
            <m:t>i</m:t>
          </m:r>
          <m:r>
            <m:t>n</m:t>
          </m:r>
          <m:r>
            <m:t>t</m:t>
          </m:r>
          <m:r>
            <m:t>e</m:t>
          </m:r>
          <m:r>
            <m:t>r</m:t>
          </m:r>
          <m:r>
            <m:t>c</m:t>
          </m:r>
          <m:r>
            <m:t>e</m:t>
          </m:r>
          <m:r>
            <m:t>p</m:t>
          </m:r>
          <m:r>
            <m:t>t</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oMath>
      </m:oMathPara>
    </w:p>
    <w:p>
      <w:pPr>
        <w:pStyle w:val="MDPI22heading2"/>
      </w:pPr>
      <w:r>
        <w:t xml:space="preserve">Frequency Intervals</w:t>
      </w:r>
    </w:p>
    <w:p>
      <w:pPr>
        <w:pStyle w:val="MDPI31text"/>
      </w:pPr>
      <w:r>
        <w:t xml:space="preserve">Two types of frequency intervals are used, sliding and tiled windows.</w:t>
      </w:r>
      <w:r>
        <w:t xml:space="preserve"> </w:t>
      </w:r>
      <w:r>
        <w:t xml:space="preserve">In this work, the sliding windows are 10 points wide with a stride of one point.</w:t>
      </w:r>
      <w:r>
        <w:t xml:space="preserve"> </w:t>
      </w:r>
      <w:r>
        <w:t xml:space="preserve">The tiled windows are one point wide with a stride of one point.</w:t>
      </w:r>
    </w:p>
    <w:p>
      <w:pPr>
        <w:pStyle w:val="MDPI22heading2"/>
      </w:pPr>
      <w:r>
        <w:t xml:space="preserve">Interval Range Based Data</w:t>
      </w:r>
    </w:p>
    <w:p>
      <w:pPr>
        <w:pStyle w:val="MDPI31text"/>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[21]</w:t>
      </w:r>
      <w:r>
        <w:t xml:space="preserve">.</w:t>
      </w:r>
      <w:r>
        <w:t xml:space="preserve"> </w:t>
      </w:r>
      <w:r>
        <w:t xml:space="preserve">The sliding and tiled windows are also converted to IRanges objects using this process.</w:t>
      </w:r>
    </w:p>
    <w:p>
      <w:pPr>
        <w:pStyle w:val="MDPI22heading2"/>
      </w:pPr>
      <w:r>
        <w:t xml:space="preserve">Peak Containing Intervals</w:t>
      </w:r>
    </w:p>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reduced, where overlapping windows are merged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[16]</w:t>
      </w:r>
      <w:r>
        <w:t xml:space="preserve">.</w:t>
      </w:r>
    </w:p>
    <w:p>
      <w:pPr>
        <w:pStyle w:val="MDPI31text"/>
      </w:pPr>
      <w:r>
        <w:t xml:space="preserve">Within each initial interval region, peaks in each scan are detected (see</w:t>
      </w:r>
      <w:r>
        <w:t xml:space="preserve"> </w:t>
      </w:r>
      <w:r>
        <w:rPr>
          <w:bCs/>
          <w:b/>
        </w:rPr>
        <w:t xml:space="preserve">Peak Detection</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p>
      <w:pPr>
        <w:pStyle w:val="MDPI22heading2"/>
      </w:pPr>
      <w:r>
        <w:t xml:space="preserve">Peak Detection and Centroided Values</w:t>
      </w:r>
    </w:p>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[22]</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r>
            <m:rPr>
              <m:nor/>
              <m:sty m:val="p"/>
            </m:rPr>
            <m:t>ln</m:t>
          </m:r>
          <m:r>
            <m:t>i</m:t>
          </m:r>
          <m:r>
            <m:t>n</m:t>
          </m:r>
          <m:r>
            <m:t>t</m:t>
          </m:r>
          <m:r>
            <m:t>e</m:t>
          </m:r>
          <m:r>
            <m:t>n</m:t>
          </m:r>
          <m:r>
            <m:t>s</m:t>
          </m:r>
          <m:r>
            <m:t>i</m:t>
          </m:r>
          <m:r>
            <m:t>t</m:t>
          </m:r>
          <m:r>
            <m:t>y</m:t>
          </m:r>
          <m:r>
            <m:rPr>
              <m:sty m:val="p"/>
            </m:rPr>
            <m:t>=</m:t>
          </m:r>
          <m:r>
            <m:t>i</m:t>
          </m:r>
          <m:r>
            <m:t>n</m:t>
          </m:r>
          <m:r>
            <m:t>t</m:t>
          </m:r>
          <m:r>
            <m:t>e</m:t>
          </m:r>
          <m:r>
            <m:t>r</m:t>
          </m:r>
          <m:r>
            <m:t>c</m:t>
          </m:r>
          <m:r>
            <m:t>e</m:t>
          </m:r>
          <m:r>
            <m:t>p</m:t>
          </m:r>
          <m:r>
            <m:t>t</m:t>
          </m:r>
          <m:r>
            <m:rPr>
              <m:sty m:val="p"/>
            </m:rPr>
            <m:t>+</m:t>
          </m:r>
          <m:r>
            <m:t>a</m:t>
          </m:r>
          <m:r>
            <m:rPr>
              <m:sty m:val="p"/>
            </m:rPr>
            <m:t>*</m:t>
          </m:r>
          <m:r>
            <m:t>p</m:t>
          </m:r>
          <m:r>
            <m:t>o</m:t>
          </m:r>
          <m:r>
            <m:t>s</m:t>
          </m:r>
          <m:r>
            <m:t>i</m:t>
          </m:r>
          <m:r>
            <m:t>t</m:t>
          </m:r>
          <m:r>
            <m:t>i</m:t>
          </m:r>
          <m:r>
            <m:t>o</m:t>
          </m:r>
          <m:r>
            <m:t>n</m:t>
          </m:r>
          <m:r>
            <m:rPr>
              <m:sty m:val="p"/>
            </m:rPr>
            <m:t>+</m:t>
          </m:r>
          <m:r>
            <m:t>b</m:t>
          </m:r>
          <m:r>
            <m:rPr>
              <m:sty m:val="p"/>
            </m:rPr>
            <m:t>*</m:t>
          </m:r>
          <m:r>
            <m:t>p</m:t>
          </m:r>
          <m:r>
            <m:t>o</m:t>
          </m:r>
          <m:r>
            <m:t>s</m:t>
          </m:r>
          <m:r>
            <m:t>i</m:t>
          </m:r>
          <m:r>
            <m:t>t</m:t>
          </m:r>
          <m:r>
            <m:t>i</m:t>
          </m:r>
          <m:r>
            <m:t>o</m:t>
          </m:r>
          <m:sSup>
            <m:e>
              <m:r>
                <m:t>n</m:t>
              </m:r>
            </m:e>
            <m:sup>
              <m:r>
                <m:t>2</m:t>
              </m:r>
            </m:sup>
          </m:sSup>
        </m:oMath>
      </m:oMathPara>
    </w:p>
    <w:p>
      <w:pPr>
        <w:pStyle w:val="MDPI31text"/>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MDPI31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p>
      <w:pPr>
        <w:pStyle w:val="MDPI22heading2"/>
      </w:pPr>
      <w:r>
        <w:t xml:space="preserve">Scan to Scan Normalization</w:t>
      </w:r>
    </w:p>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p>
      <w:pPr>
        <w:pStyle w:val="MDPI22heading2"/>
      </w:pPr>
      <w:r>
        <w:t xml:space="preserve">Full Characterization</w:t>
      </w:r>
    </w:p>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p>
      <w:pPr>
        <w:pStyle w:val="MDPI22heading2"/>
      </w:pPr>
      <w:r>
        <w:t xml:space="preserve">Correction of Height and Standard Deviation</w:t>
      </w:r>
    </w:p>
    <w:p>
      <w:pPr>
        <w:pStyle w:val="MDPI31text"/>
      </w:pPr>
      <w:r>
        <w:t xml:space="preserve">Ideally, each peak would be observed in every scan.</w:t>
      </w:r>
      <w:r>
        <w:t xml:space="preserve"> </w:t>
      </w:r>
      <w:r>
        <w:t xml:space="preserve">However, some peaks are not observed in some scans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[23]</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[24,25]</w:t>
      </w:r>
      <w:r>
        <w:t xml:space="preserve">.</w:t>
      </w:r>
    </w:p>
    <w:p>
      <w:pPr>
        <w:pStyle w:val="MDPI22heading2"/>
      </w:pPr>
      <w:r>
        <w:t xml:space="preserve">Frequency Standard Deviation Filtering</w:t>
      </w:r>
    </w:p>
    <w:p>
      <w:pPr>
        <w:pStyle w:val="MDPI31text"/>
      </w:pPr>
      <w:r>
        <w:t xml:space="preserve">High-peak-density (HPD) artifacts</w:t>
      </w:r>
      <w:r>
        <w:t xml:space="preserve"> </w:t>
      </w:r>
      <w:r>
        <w:t xml:space="preserve">[16]</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p>
      <w:pPr>
        <w:pStyle w:val="MDPI22heading2"/>
      </w:pPr>
      <w:r>
        <w:t xml:space="preserve">Assigning Scan-Centric Peaks</w:t>
      </w:r>
    </w:p>
    <w:p>
      <w:pPr>
        <w:pStyle w:val="MDPI31text"/>
      </w:pPr>
      <w:r>
        <w:t xml:space="preserve">Our previously described SMIRFE algorithm</w:t>
      </w:r>
      <w:r>
        <w:t xml:space="preserve"> </w:t>
      </w:r>
      <w:r>
        <w:t xml:space="preserve">[17]</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 Na, H, and NH4 adducts (only positive mode samples were assigned).</w:t>
      </w:r>
      <w:r>
        <w:t xml:space="preserve"> </w:t>
      </w:r>
      <w:r>
        <w:t xml:space="preserve">Assigned molecular formulas were then classified into one or more lipid categories using our lipid classifier tool</w:t>
      </w:r>
      <w:r>
        <w:t xml:space="preserve"> </w:t>
      </w:r>
      <w:r>
        <w:t xml:space="preserve">[18]</w:t>
      </w:r>
      <w:r>
        <w:t xml:space="preserve">.</w:t>
      </w:r>
      <w:r>
        <w:t xml:space="preserve"> </w:t>
      </w:r>
      <w:r>
        <w:t xml:space="preserve">Lipid classes that were previously observed to be overclassified by our models (neutral and acidic glycosphingolipids) were excluded.</w:t>
      </w:r>
      <w:r>
        <w:t xml:space="preserve"> </w:t>
      </w:r>
      <w:r>
        <w:t xml:space="preserve">For the ECF derivatized amino-acid samples, the EMF database was generated using an m/z limit of 1005 m/z, and maximum numbers for each element were set to C: 100, N: 7, O: 40, H: 230, P: 3, S: 3.</w:t>
      </w:r>
      <w:r>
        <w:t xml:space="preserve"> </w:t>
      </w:r>
      <w:r>
        <w:t xml:space="preserve">We attempted to create peaks that could be assigned by SMIRFE from the MSnbase and Xcalibur peak lists, but SMIRFE would not assign them.</w:t>
      </w:r>
    </w:p>
    <w:p>
      <w:pPr>
        <w:pStyle w:val="MDPI22heading2"/>
      </w:pPr>
      <w:r>
        <w:t xml:space="preserve">Consistently Assigned Lipid Spectral Feature (Corresponded Peak) Generation and Peak Intensity Normalization</w:t>
      </w:r>
    </w:p>
    <w:p>
      <w:pPr>
        <w:pStyle w:val="Body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 which is described in Appendix A.</w:t>
      </w:r>
      <w:r>
        <w:t xml:space="preserve"> </w:t>
      </w:r>
      <w:r>
        <w:t xml:space="preserve">EMF voting identified 3485 total corresponded peaks across all 157 spectra with 855 corresponded peaks present in 25% or more of either the disease or non-disease group of samples.</w:t>
      </w:r>
      <w:r>
        <w:t xml:space="preserve"> </w:t>
      </w:r>
      <w:r>
        <w:t xml:space="preserve">To minimize false assignment and their effects, non_lipid and multiple lipids were not considered in downstream analyses.</w:t>
      </w:r>
      <w:r>
        <w:t xml:space="preserve"> </w:t>
      </w:r>
      <w:r>
        <w:t xml:space="preserve">All lipid isotopologue intensities were normalized by dividing the isotopologue intensity by the median intensity of all the peaks in the sample.</w:t>
      </w:r>
      <w:r>
        <w:t xml:space="preserve"> </w:t>
      </w:r>
      <w:r>
        <w:t xml:space="preserve">For differential abundance analysis, missing values were replaced with a threshold value that is ½ of the lower confidence interval of the distribution of all log-transformed intensities from that tissue.</w:t>
      </w:r>
    </w:p>
    <w:p>
      <w:pPr>
        <w:pStyle w:val="MDPI22heading2"/>
      </w:pPr>
      <w:r>
        <w:t xml:space="preserve">Matching Peaks</w:t>
      </w:r>
    </w:p>
    <w:p>
      <w:pPr>
        <w:pStyle w:val="BodyText"/>
      </w:pPr>
      <w:r>
        <w:t xml:space="preserve">We matched the scan-centric peaks to the other methods by looking for the closest m/z peak that was within 2 ppm of the scan-centric reported m/z.</w:t>
      </w:r>
    </w:p>
    <w:p>
      <w:pPr>
        <w:pStyle w:val="MDPI22heading2"/>
      </w:pPr>
      <w:r>
        <w:t xml:space="preserve">Peak - Peak NAP Height Ratios</w:t>
      </w:r>
    </w:p>
    <w:p>
      <w:pPr>
        <w:pStyle w:val="Body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r>
            <m:t>l</m:t>
          </m:r>
          <m:r>
            <m:t>o</m:t>
          </m:r>
          <m:r>
            <m:t>g</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t>l</m:t>
          </m:r>
          <m:r>
            <m:t>o</m:t>
          </m:r>
          <m:r>
            <m:t>g</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oMath>
      </m:oMathPara>
    </w:p>
    <w:p>
      <w:pPr>
        <w:pStyle w:val="FirstParagraph"/>
      </w:pPr>
      <w:r>
        <w:t xml:space="preserve">SMIRFE assignments include the NAP for each of the isotopologue molecular formulas (IMFs) in the particular labelled and adducted EMF.</w:t>
      </w:r>
      <w:r>
        <w:t xml:space="preserve"> </w:t>
      </w:r>
      <w:r>
        <w:t xml:space="preserve">For each peak pair in the peak group for a particular EMF, we can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p>
      <w:pPr>
        <w:pStyle w:val="MDPI22heading2"/>
      </w:pPr>
      <w:r>
        <w:t xml:space="preserve">Multi-Class F-Statistics</w:t>
      </w:r>
    </w:p>
    <w:p>
      <w:pPr>
        <w:pStyle w:val="MDPI31text"/>
      </w:pPr>
      <w:r>
        <w:t xml:space="preserve">To evaluate the F-statistic between multi-class samples, a much larger set of samples was used.</w:t>
      </w:r>
      <w:r>
        <w:t xml:space="preserve"> </w:t>
      </w:r>
      <w:r>
        <w:t xml:space="preserve">In this case, 181 matched non-cancer and cancer samples previously used in the HPD detection manuscript</w:t>
      </w:r>
      <w:r>
        <w:t xml:space="preserve"> </w:t>
      </w:r>
      <w:r>
        <w:t xml:space="preserve">[16]</w:t>
      </w:r>
      <w:r>
        <w:t xml:space="preserve">.</w:t>
      </w:r>
      <w:r>
        <w:t xml:space="preserve"> </w:t>
      </w:r>
      <w:r>
        <w:t xml:space="preserve">All 181 samples were peak characterized using the most stringent method below as well as peaks generated from the MSnbase R package [ref], assigned using SMIRFE, and then peaks matched by shared EMFs across samples (see Supplemental materials for a description of peak matching and deciding the most likely EMF).</w:t>
      </w:r>
      <w:r>
        <w:t xml:space="preserve"> </w:t>
      </w:r>
      <w:r>
        <w:t xml:space="preserve">For each matched peak across samples, we kept the peaks present in at least 25% of samples in both classes of sample (disease, non-disease), and calculated the F-statistic for peaks generated using scan-level peak-characterization and those from MSnbase.</w:t>
      </w:r>
    </w:p>
    <w:p>
      <w:pPr>
        <w:pStyle w:val="MDPI22heading2"/>
      </w:pPr>
      <w:r>
        <w:t xml:space="preserve">Samples and Overall Processing</w:t>
      </w:r>
    </w:p>
    <w:p>
      <w:pPr>
        <w:pStyle w:val="MDPI31text"/>
      </w:pPr>
      <w:r>
        <w:t xml:space="preserve">The method for generating the amino-acid dataset was adapted from a previously published method for performing ethylchloroformate (ECF) amino acid derivatization</w:t>
      </w:r>
      <w:r>
        <w:t xml:space="preserve"> </w:t>
      </w:r>
      <w:r>
        <w:t xml:space="preserve">[7]</w:t>
      </w:r>
      <w:r>
        <w:t xml:space="preserve">.</w:t>
      </w:r>
      <w:r>
        <w:t xml:space="preserve"> </w:t>
      </w:r>
      <w:r>
        <w:t xml:space="preserve">Two replicate samples were prepared and spectra were obtained for both samples using a Tribrid Fusion Orbitrap at 500k resolution and from 150 to 1000m/z.</w:t>
      </w:r>
    </w:p>
    <w:p>
      <w:pPr>
        <w:pStyle w:val="MDPI31text"/>
      </w:pPr>
      <w:r>
        <w:t xml:space="preserve">The collection, preparation, and mass spectrometry analysis of the paired cancer and non-cancer samples has been previously described</w:t>
      </w:r>
      <w:r>
        <w:t xml:space="preserve"> </w:t>
      </w:r>
      <w:r>
        <w:t xml:space="preserve">[12]</w:t>
      </w:r>
      <w:r>
        <w:t xml:space="preserve">.</w:t>
      </w:r>
      <w:r>
        <w:t xml:space="preserve"> </w:t>
      </w:r>
      <w:r>
        <w:t xml:space="preserve">In summary, cancer and non-cancer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 Tribrid Fusion Orbitrap instruments (FSN10115 and FSN10352, referred to as Fusion 1 and Fusion 2 respectively) coupled to an Advion nanoelectrospray system.</w:t>
      </w:r>
      <w:r>
        <w:t xml:space="preserve"> </w:t>
      </w:r>
      <w:r>
        <w:t xml:space="preserve">53 patients (102 spectra total) were acquired from Fusion 1 and 40 patients (77 spectra total) were acquired from Fusion 2. Fusion 1 samples were exclusively from the University of Louisville while Fusion 2 were a mix.</w:t>
      </w:r>
      <w:r>
        <w:t xml:space="preserve"> </w:t>
      </w:r>
      <w:r>
        <w:t xml:space="preserve">Three of the patients had only a cancer or non-cancer sample acquired.</w:t>
      </w:r>
      <w:r>
        <w:t xml:space="preserve"> </w:t>
      </w:r>
      <w:r>
        <w:t xml:space="preserve">Two of the cancer lipid samples (49Cpos and 97Cpos) were used for examples in this work.</w:t>
      </w:r>
      <w:r>
        <w:t xml:space="preserve"> </w:t>
      </w:r>
      <w:r>
        <w:t xml:space="preserve">The rest were used for the examination of F-statistics.</w:t>
      </w:r>
    </w:p>
    <w:p>
      <w:pPr>
        <w:pStyle w:val="MDPI35textbeforelist"/>
      </w:pPr>
      <w:r>
        <w:t xml:space="preserve">For each raw data file in profile mzML format, they were processed in these six ways:</w:t>
      </w:r>
    </w:p>
    <w:p>
      <w:pPr>
        <w:pStyle w:val="MDPI38bullet"/>
      </w:pPr>
      <w:r>
        <w:t xml:space="preserve">No noise removal, no normalization, no frequency SD filtering (noperc_nonorm)</w:t>
      </w:r>
    </w:p>
    <w:p>
      <w:pPr>
        <w:pStyle w:val="MDPI38bullet"/>
      </w:pPr>
      <w:r>
        <w:t xml:space="preserve">Noise removal, no normalization, no frequency SD filtering (perc99_nonorm)</w:t>
      </w:r>
    </w:p>
    <w:p>
      <w:pPr>
        <w:pStyle w:val="MDPI38bullet"/>
      </w:pPr>
      <w:r>
        <w:t xml:space="preserve">Noise removal, single pass normalization with all peaks, no frequency SD filtering (singlenorm)</w:t>
      </w:r>
    </w:p>
    <w:p>
      <w:pPr>
        <w:pStyle w:val="MDPI38bullet"/>
      </w:pPr>
      <w:r>
        <w:t xml:space="preserve">Noise removal, single pass normalization with high ratio peaks, no frequency SD filtering (singlenorm_int)</w:t>
      </w:r>
    </w:p>
    <w:p>
      <w:pPr>
        <w:pStyle w:val="MDPI38bullet"/>
      </w:pPr>
      <w:r>
        <w:t xml:space="preserve">Noise removal, two pass normalization, no frequency SD filtering (doublenorm)</w:t>
      </w:r>
    </w:p>
    <w:p>
      <w:pPr>
        <w:pStyle w:val="MDPI38bullet"/>
      </w:pPr>
      <w:r>
        <w:t xml:space="preserve">Noise removal, two pass normalization, frequency SD filtering (filtersd)</w:t>
      </w:r>
    </w:p>
    <w:p>
      <w:pPr>
        <w:pStyle w:val="MDPI38bullet"/>
      </w:pPr>
      <w:r>
        <w:t xml:space="preserve">Scan level peak centroids generated by MSnbase (using</w:t>
      </w:r>
      <w:r>
        <w:t xml:space="preserve"> </w:t>
      </w:r>
      <w:r>
        <w:rPr>
          <w:rStyle w:val="VerbatimChar"/>
        </w:rPr>
        <w:t xml:space="preserve">pickPeaks</w:t>
      </w:r>
      <w:r>
        <w:t xml:space="preserve"> </w:t>
      </w:r>
      <w:r>
        <w:t xml:space="preserve">on the individual scans)</w:t>
      </w:r>
    </w:p>
    <w:p>
      <w:pPr>
        <w:pStyle w:val="MDPI38bulle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5textbeforelist"/>
      </w:pPr>
      <w:r>
        <w:t xml:space="preserve">For the two sets of MSnbase peaks, we also matched scan level peaks to merged peaks via two methods:</w:t>
      </w:r>
    </w:p>
    <w:p>
      <w:pPr>
        <w:pStyle w:val="MDPI38bullet"/>
      </w:pPr>
      <w:r>
        <w:t xml:space="preserve">All scan level peaks within a 2ppm window are associated with the</w:t>
      </w:r>
      <w:r>
        <w:t xml:space="preserve"> </w:t>
      </w:r>
      <w:r>
        <w:rPr>
          <w:iCs/>
          <w:i/>
        </w:rPr>
        <w:t xml:space="preserve">merged</w:t>
      </w:r>
      <w:r>
        <w:t xml:space="preserve"> </w:t>
      </w:r>
      <w:r>
        <w:t xml:space="preserve">peak</w:t>
      </w:r>
    </w:p>
    <w:p>
      <w:pPr>
        <w:pStyle w:val="MDPI38bulle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p>
      <w:pPr>
        <w:pStyle w:val="MDPI21heading1"/>
      </w:pPr>
      <w:r>
        <w:t xml:space="preserve">Conclusions</w:t>
      </w:r>
    </w:p>
    <w:p>
      <w:pPr>
        <w:pStyle w:val="MDPI21heading1"/>
      </w:pPr>
      <w:r>
        <w:t xml:space="preserve">References</w:t>
      </w:r>
    </w:p>
    <w:bookmarkStart w:id="82" w:name="refs"/>
    <w:bookmarkStart w:id="34"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33">
        <w:r>
          <w:rPr>
            <w:rStyle w:val="Hyperlink"/>
          </w:rPr>
          <w:t xml:space="preserve">10.1007/978-1-4939-1258-2_11</w:t>
        </w:r>
      </w:hyperlink>
    </w:p>
    <w:bookmarkEnd w:id="34"/>
    <w:bookmarkStart w:id="36"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35">
        <w:r>
          <w:rPr>
            <w:rStyle w:val="Hyperlink"/>
          </w:rPr>
          <w:t xml:space="preserve">10.1186/1471-2105-11-139</w:t>
        </w:r>
      </w:hyperlink>
    </w:p>
    <w:bookmarkEnd w:id="36"/>
    <w:bookmarkStart w:id="38"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37">
        <w:r>
          <w:rPr>
            <w:rStyle w:val="Hyperlink"/>
          </w:rPr>
          <w:t xml:space="preserve">10.3390/metabo3040853</w:t>
        </w:r>
      </w:hyperlink>
    </w:p>
    <w:bookmarkEnd w:id="38"/>
    <w:bookmarkStart w:id="40" w:name="X5a67d871c36475f70b46fb379ddc86a5a52866e"/>
    <w:p>
      <w:pPr>
        <w:pStyle w:val="Bibliography"/>
      </w:pPr>
      <w:r>
        <w:t xml:space="preserve">4.</w:t>
      </w:r>
      <w:r>
        <w:t xml:space="preserve"> </w:t>
      </w:r>
      <w:r>
        <w:t xml:space="preserve">	</w:t>
      </w:r>
      <w:r>
        <w:t xml:space="preserve">Kind T, Fiehn O. Metabolomic database annotations via query of elemental compositions: Mass accuracy is insufficient even at less than 1 ppm. BMC Bioinformatics. 2006;7: 234. doi:</w:t>
      </w:r>
      <w:hyperlink r:id="rId39">
        <w:r>
          <w:rPr>
            <w:rStyle w:val="Hyperlink"/>
          </w:rPr>
          <w:t xml:space="preserve">10.1186/1471-2105-7-234</w:t>
        </w:r>
      </w:hyperlink>
    </w:p>
    <w:bookmarkEnd w:id="40"/>
    <w:bookmarkStart w:id="42" w:name="ref-eylesMethodsStudyProtein2004"/>
    <w:p>
      <w:pPr>
        <w:pStyle w:val="Bibliography"/>
      </w:pPr>
      <w:r>
        <w:t xml:space="preserve">5.</w:t>
      </w:r>
      <w:r>
        <w:t xml:space="preserve"> </w:t>
      </w:r>
      <w:r>
        <w:t xml:space="preserve">	</w:t>
      </w:r>
      <w:r>
        <w:t xml:space="preserve">Eyles SJ, Kaltashov IA. Methods to study protein dynamics and folding by mass spectrometry. Methods. 2004;34: 88–99. doi:</w:t>
      </w:r>
      <w:hyperlink r:id="rId41">
        <w:r>
          <w:rPr>
            <w:rStyle w:val="Hyperlink"/>
          </w:rPr>
          <w:t xml:space="preserve">10.1016/j.ymeth.2004.03.015</w:t>
        </w:r>
      </w:hyperlink>
    </w:p>
    <w:bookmarkEnd w:id="42"/>
    <w:bookmarkStart w:id="44" w:name="Xa20c21c8ec335fa7f01b93a3f8692f13946036c"/>
    <w:p>
      <w:pPr>
        <w:pStyle w:val="Bibliography"/>
      </w:pPr>
      <w:r>
        <w:t xml:space="preserve">6.</w:t>
      </w:r>
      <w:r>
        <w:t xml:space="preserve"> </w:t>
      </w:r>
      <w:r>
        <w:t xml:space="preserve">	</w:t>
      </w:r>
      <w:r>
        <w:t xml:space="preserve">Dettmer K, Aronov PA, Hammock BD. Mass spectrometry-based metabolomics. Mass Spectrometry Reviews. 2007;26: 51–78. doi:</w:t>
      </w:r>
      <w:hyperlink r:id="rId43">
        <w:r>
          <w:rPr>
            <w:rStyle w:val="Hyperlink"/>
          </w:rPr>
          <w:t xml:space="preserve">10.1002/mas.20108</w:t>
        </w:r>
      </w:hyperlink>
    </w:p>
    <w:bookmarkEnd w:id="44"/>
    <w:bookmarkStart w:id="46" w:name="X0ff3ee7102bb3823f411e4b9e2c13b960fd24f2"/>
    <w:p>
      <w:pPr>
        <w:pStyle w:val="Bibliography"/>
      </w:pPr>
      <w:r>
        <w:t xml:space="preserve">7.</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45">
        <w:r>
          <w:rPr>
            <w:rStyle w:val="Hyperlink"/>
          </w:rPr>
          <w:t xml:space="preserve">10.1016/j.aca.2017.04.014</w:t>
        </w:r>
      </w:hyperlink>
    </w:p>
    <w:bookmarkEnd w:id="46"/>
    <w:bookmarkStart w:id="48" w:name="X21d13c328f4e2f4f1ef4ff4ecc1d308a4ab1ccd"/>
    <w:p>
      <w:pPr>
        <w:pStyle w:val="Bibliography"/>
      </w:pPr>
      <w:r>
        <w:t xml:space="preserve">8.</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47">
        <w:r>
          <w:rPr>
            <w:rStyle w:val="Hyperlink"/>
          </w:rPr>
          <w:t xml:space="preserve">10.1021/ac3018795</w:t>
        </w:r>
      </w:hyperlink>
    </w:p>
    <w:bookmarkEnd w:id="48"/>
    <w:bookmarkStart w:id="50" w:name="X2ee954aa2a32d5f96d40197b5eab081b7356d92"/>
    <w:p>
      <w:pPr>
        <w:pStyle w:val="Bibliography"/>
      </w:pPr>
      <w:r>
        <w:t xml:space="preserve">9.</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49">
        <w:r>
          <w:rPr>
            <w:rStyle w:val="Hyperlink"/>
          </w:rPr>
          <w:t xml:space="preserve">10.1021/ac1011574</w:t>
        </w:r>
      </w:hyperlink>
    </w:p>
    <w:bookmarkEnd w:id="50"/>
    <w:bookmarkStart w:id="52" w:name="X63f06a0d2e06fccb75396e8afd3992659d556e3"/>
    <w:p>
      <w:pPr>
        <w:pStyle w:val="Bibliography"/>
      </w:pPr>
      <w:r>
        <w:t xml:space="preserve">10.</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51">
        <w:r>
          <w:rPr>
            <w:rStyle w:val="Hyperlink"/>
          </w:rPr>
          <w:t xml:space="preserve">10.1016/j.pharmthera.2011.12.007</w:t>
        </w:r>
      </w:hyperlink>
    </w:p>
    <w:bookmarkEnd w:id="52"/>
    <w:bookmarkStart w:id="54" w:name="ref-moseleyNovelDeconvolutionMethod2011"/>
    <w:p>
      <w:pPr>
        <w:pStyle w:val="Bibliography"/>
      </w:pPr>
      <w:r>
        <w:t xml:space="preserve">11.</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53">
        <w:r>
          <w:rPr>
            <w:rStyle w:val="Hyperlink"/>
          </w:rPr>
          <w:t xml:space="preserve">10.1186/1741-7007-9-37</w:t>
        </w:r>
      </w:hyperlink>
    </w:p>
    <w:bookmarkEnd w:id="54"/>
    <w:bookmarkStart w:id="56" w:name="X28d1a5f147a63154a933b27a6c7aac2421cbd10"/>
    <w:p>
      <w:pPr>
        <w:pStyle w:val="Bibliography"/>
      </w:pPr>
      <w:r>
        <w:t xml:space="preserve">12.</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55">
        <w:r>
          <w:rPr>
            <w:rStyle w:val="Hyperlink"/>
          </w:rPr>
          <w:t xml:space="preserve">10.1172/JCI72873</w:t>
        </w:r>
      </w:hyperlink>
    </w:p>
    <w:bookmarkEnd w:id="56"/>
    <w:bookmarkStart w:id="58" w:name="ref-verdegemMAIMSSoftwareTool2017"/>
    <w:p>
      <w:pPr>
        <w:pStyle w:val="Bibliography"/>
      </w:pPr>
      <w:r>
        <w:t xml:space="preserve">13.</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57">
        <w:r>
          <w:rPr>
            <w:rStyle w:val="Hyperlink"/>
          </w:rPr>
          <w:t xml:space="preserve">10.1007/s11306-017-1250-7</w:t>
        </w:r>
      </w:hyperlink>
    </w:p>
    <w:bookmarkEnd w:id="58"/>
    <w:bookmarkStart w:id="60" w:name="ref-fanAlteredRegulationMetabolic2009"/>
    <w:p>
      <w:pPr>
        <w:pStyle w:val="Bibliography"/>
      </w:pPr>
      <w:r>
        <w:t xml:space="preserve">14.</w:t>
      </w:r>
      <w:r>
        <w:t xml:space="preserve"> </w:t>
      </w:r>
      <w:r>
        <w:t xml:space="preserve">	</w:t>
      </w:r>
      <w:r>
        <w:t xml:space="preserve">Fan TW, Lane AN, Higashi RM, Farag MA, Gao H, Bousamra M, et al. Altered regulation of metabolic pathways in human lung cancer discerned by 13C stable isotope-resolved metabolomics (SIRM). Molecular Cancer. 2009;8: 41. doi:</w:t>
      </w:r>
      <w:hyperlink r:id="rId59">
        <w:r>
          <w:rPr>
            <w:rStyle w:val="Hyperlink"/>
          </w:rPr>
          <w:t xml:space="preserve">10.1186/1476-4598-8-41</w:t>
        </w:r>
      </w:hyperlink>
    </w:p>
    <w:bookmarkEnd w:id="60"/>
    <w:bookmarkStart w:id="62" w:name="ref-harrisDiverseMechanismsGrowth2012"/>
    <w:p>
      <w:pPr>
        <w:pStyle w:val="Bibliography"/>
      </w:pPr>
      <w:r>
        <w:t xml:space="preserve">15.</w:t>
      </w:r>
      <w:r>
        <w:t xml:space="preserve"> </w:t>
      </w:r>
      <w:r>
        <w:t xml:space="preserve">	</w:t>
      </w:r>
      <w:r>
        <w:t xml:space="preserve">Harris DM, Li L, Chen M, Lagunero FT, Go VLW, Boros LG. Diverse mechanisms of growth inhibition by luteolin, resveratrol, and quercetin in MIA PaCa-2 cells: a comparative glucose tracer study with the fatty acid synthase inhibitor C75. Metabolomics. 2012;8: 201–210. doi:</w:t>
      </w:r>
      <w:hyperlink r:id="rId61">
        <w:r>
          <w:rPr>
            <w:rStyle w:val="Hyperlink"/>
          </w:rPr>
          <w:t xml:space="preserve">10.1007/s11306-011-0300-9</w:t>
        </w:r>
      </w:hyperlink>
    </w:p>
    <w:bookmarkEnd w:id="62"/>
    <w:bookmarkStart w:id="64" w:name="ref-mitchellNewMethodsIdentify2018"/>
    <w:p>
      <w:pPr>
        <w:pStyle w:val="Bibliography"/>
      </w:pPr>
      <w:r>
        <w:t xml:space="preserve">16.</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63">
        <w:r>
          <w:rPr>
            <w:rStyle w:val="Hyperlink"/>
          </w:rPr>
          <w:t xml:space="preserve">10.1007/s11306-018-1426-9</w:t>
        </w:r>
      </w:hyperlink>
    </w:p>
    <w:bookmarkEnd w:id="64"/>
    <w:bookmarkStart w:id="66" w:name="ref-mitchellSmallMoleculeIsotope2019"/>
    <w:p>
      <w:pPr>
        <w:pStyle w:val="Bibliography"/>
      </w:pPr>
      <w:r>
        <w:t xml:space="preserve">17.</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65">
        <w:r>
          <w:rPr>
            <w:rStyle w:val="Hyperlink"/>
          </w:rPr>
          <w:t xml:space="preserve">10.1021/acs.analchem.9b00748</w:t>
        </w:r>
      </w:hyperlink>
    </w:p>
    <w:bookmarkEnd w:id="66"/>
    <w:bookmarkStart w:id="68" w:name="Xce1d333e26155f711d31849fd1c03c28707a1e3"/>
    <w:p>
      <w:pPr>
        <w:pStyle w:val="Bibliography"/>
      </w:pPr>
      <w:r>
        <w:t xml:space="preserve">18.</w:t>
      </w:r>
      <w:r>
        <w:t xml:space="preserve"> </w:t>
      </w:r>
      <w:r>
        <w:t xml:space="preserve">	</w:t>
      </w:r>
      <w:r>
        <w:t xml:space="preserve">Mitchell JM, Flight RM, Moseley HNB. Deriving Lipid Classification Based on Molecular Formulas. Metabolites. 2020;10: E122. doi:</w:t>
      </w:r>
      <w:hyperlink r:id="rId67">
        <w:r>
          <w:rPr>
            <w:rStyle w:val="Hyperlink"/>
          </w:rPr>
          <w:t xml:space="preserve">10.3390/metabo10030122</w:t>
        </w:r>
      </w:hyperlink>
    </w:p>
    <w:bookmarkEnd w:id="68"/>
    <w:bookmarkStart w:id="70" w:name="X3b9a59757be023f56b0673ca75288df7278c67b"/>
    <w:p>
      <w:pPr>
        <w:pStyle w:val="Bibliography"/>
      </w:pPr>
      <w:r>
        <w:t xml:space="preserve">19.</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69">
        <w:r>
          <w:rPr>
            <w:rStyle w:val="Hyperlink"/>
          </w:rPr>
          <w:t xml:space="preserve">10.3390/metabo11110740</w:t>
        </w:r>
      </w:hyperlink>
    </w:p>
    <w:bookmarkEnd w:id="70"/>
    <w:bookmarkStart w:id="72" w:name="ref-ledfordSpaceChargeEffects1984"/>
    <w:p>
      <w:pPr>
        <w:pStyle w:val="Bibliography"/>
      </w:pPr>
      <w:r>
        <w:t xml:space="preserve">20.</w:t>
      </w:r>
      <w:r>
        <w:t xml:space="preserve"> </w:t>
      </w:r>
      <w:r>
        <w:t xml:space="preserve">	</w:t>
      </w:r>
      <w:r>
        <w:t xml:space="preserve">Ledford EB, Rempel DL, Gross ML. Space charge effects in Fourier transform mass spectrometry. II. Mass calibration. Anal Chem. 1984;56: 2744–2748. doi:</w:t>
      </w:r>
      <w:hyperlink r:id="rId71">
        <w:r>
          <w:rPr>
            <w:rStyle w:val="Hyperlink"/>
          </w:rPr>
          <w:t xml:space="preserve">10.1021/ac00278a027</w:t>
        </w:r>
      </w:hyperlink>
    </w:p>
    <w:bookmarkEnd w:id="72"/>
    <w:bookmarkStart w:id="74" w:name="Xc9d4340803cec2a15e83c7b9a18da3fcbfed687"/>
    <w:p>
      <w:pPr>
        <w:pStyle w:val="Bibliography"/>
      </w:pPr>
      <w:r>
        <w:t xml:space="preserve">21.</w:t>
      </w:r>
      <w:r>
        <w:t xml:space="preserve"> </w:t>
      </w:r>
      <w:r>
        <w:t xml:space="preserve">	</w:t>
      </w:r>
      <w:r>
        <w:t xml:space="preserve">Lawrence M, Huber W, Pagès H, Aboyoun P, Carlson M, Gentleman R, et al. Software for Computing and Annotating Genomic Ranges. PLOS Computational Biology. 2013;9: e1003118. doi:</w:t>
      </w:r>
      <w:hyperlink r:id="rId73">
        <w:r>
          <w:rPr>
            <w:rStyle w:val="Hyperlink"/>
          </w:rPr>
          <w:t xml:space="preserve">10.1371/journal.pcbi.1003118</w:t>
        </w:r>
      </w:hyperlink>
    </w:p>
    <w:bookmarkEnd w:id="74"/>
    <w:bookmarkStart w:id="76" w:name="ref-borchersPracmaPracticalNumerical2021"/>
    <w:p>
      <w:pPr>
        <w:pStyle w:val="Bibliography"/>
      </w:pPr>
      <w:r>
        <w:t xml:space="preserve">22.</w:t>
      </w:r>
      <w:r>
        <w:t xml:space="preserve"> </w:t>
      </w:r>
      <w:r>
        <w:t xml:space="preserve">	</w:t>
      </w:r>
      <w:r>
        <w:t xml:space="preserve">Borchers HW. pracma: Practical numerical math functions. 2021. Available:</w:t>
      </w:r>
      <w:r>
        <w:t xml:space="preserve"> </w:t>
      </w:r>
      <w:hyperlink r:id="rId75">
        <w:r>
          <w:rPr>
            <w:rStyle w:val="Hyperlink"/>
          </w:rPr>
          <w:t xml:space="preserve">https://CRAN.R-project.org/package=pracma</w:t>
        </w:r>
      </w:hyperlink>
    </w:p>
    <w:bookmarkEnd w:id="76"/>
    <w:bookmarkStart w:id="78" w:name="X4363fd09f2cfc5c8b6bf66f5b50b594ec28d30d"/>
    <w:p>
      <w:pPr>
        <w:pStyle w:val="Bibliography"/>
      </w:pPr>
      <w:r>
        <w:t xml:space="preserve">23.</w:t>
      </w:r>
      <w:r>
        <w:t xml:space="preserve"> </w:t>
      </w:r>
      <w:r>
        <w:t xml:space="preserve">	</w:t>
      </w:r>
      <w:r>
        <w:t xml:space="preserve">Flight RM, Bhatt PS, Moseley HN. Information-Content-Informed Kendall-tau Correlation: Utilizing Missing Values. 2022; 2022.02.24.481854. doi:</w:t>
      </w:r>
      <w:hyperlink r:id="rId77">
        <w:r>
          <w:rPr>
            <w:rStyle w:val="Hyperlink"/>
          </w:rPr>
          <w:t xml:space="preserve">10.1101/2022.02.24.481854</w:t>
        </w:r>
      </w:hyperlink>
    </w:p>
    <w:bookmarkEnd w:id="78"/>
    <w:bookmarkStart w:id="80" w:name="ref-TruncatedNormalDistribution2022"/>
    <w:p>
      <w:pPr>
        <w:pStyle w:val="Bibliography"/>
      </w:pPr>
      <w:r>
        <w:t xml:space="preserve">24.</w:t>
      </w:r>
      <w:r>
        <w:t xml:space="preserve"> </w:t>
      </w:r>
      <w:r>
        <w:t xml:space="preserve">	</w:t>
      </w:r>
      <w:r>
        <w:t xml:space="preserve">Truncated normal distribution. Wikipedia. 2022. Available:</w:t>
      </w:r>
      <w:r>
        <w:t xml:space="preserve"> </w:t>
      </w:r>
      <w:hyperlink r:id="rId79">
        <w:r>
          <w:rPr>
            <w:rStyle w:val="Hyperlink"/>
          </w:rPr>
          <w:t xml:space="preserve">https://en.wikipedia.org/w/index.php?title=Truncated_normal_distribution&amp;oldid=1074943875</w:t>
        </w:r>
      </w:hyperlink>
    </w:p>
    <w:bookmarkEnd w:id="80"/>
    <w:bookmarkStart w:id="81" w:name="ref-burkardtTruncatedNormalDistribution"/>
    <w:p>
      <w:pPr>
        <w:pStyle w:val="Bibliography"/>
      </w:pPr>
      <w:r>
        <w:t xml:space="preserve">25.</w:t>
      </w:r>
      <w:r>
        <w:t xml:space="preserve"> </w:t>
      </w:r>
      <w:r>
        <w:t xml:space="preserve">	</w:t>
      </w:r>
      <w:r>
        <w:t xml:space="preserve">Burkardt J. The Truncated Normal Distribution. : 35.</w:t>
      </w:r>
      <w:r>
        <w:t xml:space="preserve"> </w:t>
      </w:r>
    </w:p>
    <w:bookmarkEnd w:id="81"/>
    <w:bookmarkEnd w:id="82"/>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hyperlink" Id="rId75" Target="https://CRAN.R-project.org/package=pracma" TargetMode="External" /><Relationship Type="http://schemas.openxmlformats.org/officeDocument/2006/relationships/hyperlink" Id="rId43" Target="https://doi.org/10.1002/mas.20108" TargetMode="External" /><Relationship Type="http://schemas.openxmlformats.org/officeDocument/2006/relationships/hyperlink" Id="rId33" Target="https://doi.org/10.1007/978-1-4939-1258-2_11" TargetMode="External" /><Relationship Type="http://schemas.openxmlformats.org/officeDocument/2006/relationships/hyperlink" Id="rId61" Target="https://doi.org/10.1007/s11306-011-0300-9" TargetMode="External" /><Relationship Type="http://schemas.openxmlformats.org/officeDocument/2006/relationships/hyperlink" Id="rId57" Target="https://doi.org/10.1007/s11306-017-1250-7" TargetMode="External" /><Relationship Type="http://schemas.openxmlformats.org/officeDocument/2006/relationships/hyperlink" Id="rId63" Target="https://doi.org/10.1007/s11306-018-1426-9" TargetMode="External" /><Relationship Type="http://schemas.openxmlformats.org/officeDocument/2006/relationships/hyperlink" Id="rId45" Target="https://doi.org/10.1016/j.aca.2017.04.014" TargetMode="External" /><Relationship Type="http://schemas.openxmlformats.org/officeDocument/2006/relationships/hyperlink" Id="rId51" Target="https://doi.org/10.1016/j.pharmthera.2011.12.007" TargetMode="External" /><Relationship Type="http://schemas.openxmlformats.org/officeDocument/2006/relationships/hyperlink" Id="rId41" Target="https://doi.org/10.1016/j.ymeth.2004.03.015" TargetMode="External" /><Relationship Type="http://schemas.openxmlformats.org/officeDocument/2006/relationships/hyperlink" Id="rId71" Target="https://doi.org/10.1021/ac00278a027" TargetMode="External" /><Relationship Type="http://schemas.openxmlformats.org/officeDocument/2006/relationships/hyperlink" Id="rId49" Target="https://doi.org/10.1021/ac1011574" TargetMode="External" /><Relationship Type="http://schemas.openxmlformats.org/officeDocument/2006/relationships/hyperlink" Id="rId47" Target="https://doi.org/10.1021/ac3018795" TargetMode="External" /><Relationship Type="http://schemas.openxmlformats.org/officeDocument/2006/relationships/hyperlink" Id="rId65" Target="https://doi.org/10.1021/acs.analchem.9b00748" TargetMode="External" /><Relationship Type="http://schemas.openxmlformats.org/officeDocument/2006/relationships/hyperlink" Id="rId77" Target="https://doi.org/10.1101/2022.02.24.481854" TargetMode="External" /><Relationship Type="http://schemas.openxmlformats.org/officeDocument/2006/relationships/hyperlink" Id="rId55" Target="https://doi.org/10.1172/JCI72873" TargetMode="External" /><Relationship Type="http://schemas.openxmlformats.org/officeDocument/2006/relationships/hyperlink" Id="rId35" Target="https://doi.org/10.1186/1471-2105-11-139" TargetMode="External" /><Relationship Type="http://schemas.openxmlformats.org/officeDocument/2006/relationships/hyperlink" Id="rId39" Target="https://doi.org/10.1186/1471-2105-7-234" TargetMode="External" /><Relationship Type="http://schemas.openxmlformats.org/officeDocument/2006/relationships/hyperlink" Id="rId59" Target="https://doi.org/10.1186/1476-4598-8-41" TargetMode="External" /><Relationship Type="http://schemas.openxmlformats.org/officeDocument/2006/relationships/hyperlink" Id="rId53" Target="https://doi.org/10.1186/1741-7007-9-37" TargetMode="External" /><Relationship Type="http://schemas.openxmlformats.org/officeDocument/2006/relationships/hyperlink" Id="rId73" Target="https://doi.org/10.1371/journal.pcbi.1003118" TargetMode="External" /><Relationship Type="http://schemas.openxmlformats.org/officeDocument/2006/relationships/hyperlink" Id="rId67" Target="https://doi.org/10.3390/metabo10030122" TargetMode="External" /><Relationship Type="http://schemas.openxmlformats.org/officeDocument/2006/relationships/hyperlink" Id="rId69" Target="https://doi.org/10.3390/metabo11110740" TargetMode="External" /><Relationship Type="http://schemas.openxmlformats.org/officeDocument/2006/relationships/hyperlink" Id="rId37" Target="https://doi.org/10.3390/metabo3040853" TargetMode="External" /><Relationship Type="http://schemas.openxmlformats.org/officeDocument/2006/relationships/hyperlink" Id="rId79"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75" Target="https://CRAN.R-project.org/package=pracma" TargetMode="External" /><Relationship Type="http://schemas.openxmlformats.org/officeDocument/2006/relationships/hyperlink" Id="rId43" Target="https://doi.org/10.1002/mas.20108" TargetMode="External" /><Relationship Type="http://schemas.openxmlformats.org/officeDocument/2006/relationships/hyperlink" Id="rId33" Target="https://doi.org/10.1007/978-1-4939-1258-2_11" TargetMode="External" /><Relationship Type="http://schemas.openxmlformats.org/officeDocument/2006/relationships/hyperlink" Id="rId61" Target="https://doi.org/10.1007/s11306-011-0300-9" TargetMode="External" /><Relationship Type="http://schemas.openxmlformats.org/officeDocument/2006/relationships/hyperlink" Id="rId57" Target="https://doi.org/10.1007/s11306-017-1250-7" TargetMode="External" /><Relationship Type="http://schemas.openxmlformats.org/officeDocument/2006/relationships/hyperlink" Id="rId63" Target="https://doi.org/10.1007/s11306-018-1426-9" TargetMode="External" /><Relationship Type="http://schemas.openxmlformats.org/officeDocument/2006/relationships/hyperlink" Id="rId45" Target="https://doi.org/10.1016/j.aca.2017.04.014" TargetMode="External" /><Relationship Type="http://schemas.openxmlformats.org/officeDocument/2006/relationships/hyperlink" Id="rId51" Target="https://doi.org/10.1016/j.pharmthera.2011.12.007" TargetMode="External" /><Relationship Type="http://schemas.openxmlformats.org/officeDocument/2006/relationships/hyperlink" Id="rId41" Target="https://doi.org/10.1016/j.ymeth.2004.03.015" TargetMode="External" /><Relationship Type="http://schemas.openxmlformats.org/officeDocument/2006/relationships/hyperlink" Id="rId71" Target="https://doi.org/10.1021/ac00278a027" TargetMode="External" /><Relationship Type="http://schemas.openxmlformats.org/officeDocument/2006/relationships/hyperlink" Id="rId49" Target="https://doi.org/10.1021/ac1011574" TargetMode="External" /><Relationship Type="http://schemas.openxmlformats.org/officeDocument/2006/relationships/hyperlink" Id="rId47" Target="https://doi.org/10.1021/ac3018795" TargetMode="External" /><Relationship Type="http://schemas.openxmlformats.org/officeDocument/2006/relationships/hyperlink" Id="rId65" Target="https://doi.org/10.1021/acs.analchem.9b00748" TargetMode="External" /><Relationship Type="http://schemas.openxmlformats.org/officeDocument/2006/relationships/hyperlink" Id="rId77" Target="https://doi.org/10.1101/2022.02.24.481854" TargetMode="External" /><Relationship Type="http://schemas.openxmlformats.org/officeDocument/2006/relationships/hyperlink" Id="rId55" Target="https://doi.org/10.1172/JCI72873" TargetMode="External" /><Relationship Type="http://schemas.openxmlformats.org/officeDocument/2006/relationships/hyperlink" Id="rId35" Target="https://doi.org/10.1186/1471-2105-11-139" TargetMode="External" /><Relationship Type="http://schemas.openxmlformats.org/officeDocument/2006/relationships/hyperlink" Id="rId39" Target="https://doi.org/10.1186/1471-2105-7-234" TargetMode="External" /><Relationship Type="http://schemas.openxmlformats.org/officeDocument/2006/relationships/hyperlink" Id="rId59" Target="https://doi.org/10.1186/1476-4598-8-41" TargetMode="External" /><Relationship Type="http://schemas.openxmlformats.org/officeDocument/2006/relationships/hyperlink" Id="rId53" Target="https://doi.org/10.1186/1741-7007-9-37" TargetMode="External" /><Relationship Type="http://schemas.openxmlformats.org/officeDocument/2006/relationships/hyperlink" Id="rId73" Target="https://doi.org/10.1371/journal.pcbi.1003118" TargetMode="External" /><Relationship Type="http://schemas.openxmlformats.org/officeDocument/2006/relationships/hyperlink" Id="rId67" Target="https://doi.org/10.3390/metabo10030122" TargetMode="External" /><Relationship Type="http://schemas.openxmlformats.org/officeDocument/2006/relationships/hyperlink" Id="rId69" Target="https://doi.org/10.3390/metabo11110740" TargetMode="External" /><Relationship Type="http://schemas.openxmlformats.org/officeDocument/2006/relationships/hyperlink" Id="rId37" Target="https://doi.org/10.3390/metabo3040853" TargetMode="External" /><Relationship Type="http://schemas.openxmlformats.org/officeDocument/2006/relationships/hyperlink" Id="rId79"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FT-MS Experiments</dc:title>
  <dc:creator>Robert M Flight1,2,3, Joshua M Mitchell1,2,3,4, and Hunter NB Moseley1,2,3,4,5,✉</dc:creator>
  <cp:keywords/>
  <dcterms:created xsi:type="dcterms:W3CDTF">2022-03-31T20:00:36Z</dcterms:created>
  <dcterms:modified xsi:type="dcterms:W3CDTF">2022-03-31T20:00:36Z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/home/rmflight/Documents/manuscripts/in_progress/rmflight_peakCharacterization/doc/peakcharacterization.json</vt:lpwstr>
  </property>
  <property fmtid="{D5CDD505-2E9C-101B-9397-08002B2CF9AE}" pid="3" name="csl">
    <vt:lpwstr>plos-computational-biology.csl</vt:lpwstr>
  </property>
  <property fmtid="{D5CDD505-2E9C-101B-9397-08002B2CF9AE}" pid="4" name="date">
    <vt:lpwstr>2022-03-31 15:59:09</vt:lpwstr>
  </property>
  <property fmtid="{D5CDD505-2E9C-101B-9397-08002B2CF9AE}" pid="5" name="editor_options">
    <vt:lpwstr/>
  </property>
  <property fmtid="{D5CDD505-2E9C-101B-9397-08002B2CF9AE}" pid="6" name="output">
    <vt:lpwstr/>
  </property>
</Properties>
</file>